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87" w:rsidRDefault="00087487" w:rsidP="00E85768">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TL 16</w:t>
      </w:r>
    </w:p>
    <w:p w:rsidR="00E85768" w:rsidRDefault="00F5416A" w:rsidP="00E85768">
      <w:pPr>
        <w:spacing w:after="0" w:line="240" w:lineRule="auto"/>
        <w:jc w:val="both"/>
        <w:rPr>
          <w:rFonts w:ascii="Times New Roman" w:eastAsia="Times New Roman" w:hAnsi="Times New Roman" w:cs="Times New Roman"/>
          <w:b/>
          <w:bCs/>
        </w:rPr>
      </w:pPr>
      <w:r w:rsidRPr="00E85768">
        <w:rPr>
          <w:rFonts w:ascii="Times New Roman" w:eastAsia="Times New Roman" w:hAnsi="Times New Roman" w:cs="Times New Roman"/>
          <w:b/>
          <w:bCs/>
        </w:rPr>
        <w:t xml:space="preserve">DETERMINACIÓN DE RANGOS DE MARCADORES ÓSEOS CTX Y NMID-OSTEOCALCINA EN MUJERES CHILENAS POSTMENOPÁUSICAS </w:t>
      </w:r>
    </w:p>
    <w:p w:rsidR="00C5170A" w:rsidRDefault="00F5416A" w:rsidP="00E85768">
      <w:pPr>
        <w:spacing w:after="0" w:line="240" w:lineRule="auto"/>
        <w:jc w:val="both"/>
        <w:rPr>
          <w:rFonts w:ascii="Times New Roman" w:eastAsia="Times New Roman" w:hAnsi="Times New Roman" w:cs="Times New Roman"/>
        </w:rPr>
      </w:pPr>
      <w:r w:rsidRPr="00E85768">
        <w:rPr>
          <w:rFonts w:ascii="Times New Roman" w:eastAsia="Times New Roman" w:hAnsi="Times New Roman" w:cs="Times New Roman"/>
        </w:rPr>
        <w:t>M</w:t>
      </w:r>
      <w:r w:rsidR="00E85768">
        <w:rPr>
          <w:rFonts w:ascii="Times New Roman" w:eastAsia="Times New Roman" w:hAnsi="Times New Roman" w:cs="Times New Roman"/>
        </w:rPr>
        <w:t>arcela Barberán Manríquez</w:t>
      </w:r>
      <w:r w:rsidRPr="00E85768">
        <w:rPr>
          <w:rFonts w:ascii="Times New Roman" w:eastAsia="Times New Roman" w:hAnsi="Times New Roman" w:cs="Times New Roman"/>
          <w:vertAlign w:val="superscript"/>
        </w:rPr>
        <w:t>1</w:t>
      </w:r>
      <w:r w:rsidRPr="00E85768">
        <w:rPr>
          <w:rFonts w:ascii="Times New Roman" w:eastAsia="Times New Roman" w:hAnsi="Times New Roman" w:cs="Times New Roman"/>
        </w:rPr>
        <w:t>, M</w:t>
      </w:r>
      <w:r w:rsidR="00E85768">
        <w:rPr>
          <w:rFonts w:ascii="Times New Roman" w:eastAsia="Times New Roman" w:hAnsi="Times New Roman" w:cs="Times New Roman"/>
        </w:rPr>
        <w:t>aritza Garrido Palma</w:t>
      </w:r>
      <w:r w:rsidRPr="00E85768">
        <w:rPr>
          <w:rFonts w:ascii="Times New Roman" w:eastAsia="Times New Roman" w:hAnsi="Times New Roman" w:cs="Times New Roman"/>
          <w:vertAlign w:val="superscript"/>
        </w:rPr>
        <w:t>2</w:t>
      </w:r>
      <w:r w:rsidRPr="00E85768">
        <w:rPr>
          <w:rFonts w:ascii="Times New Roman" w:eastAsia="Times New Roman" w:hAnsi="Times New Roman" w:cs="Times New Roman"/>
        </w:rPr>
        <w:t>, D</w:t>
      </w:r>
      <w:r w:rsidR="00E85768">
        <w:rPr>
          <w:rFonts w:ascii="Times New Roman" w:eastAsia="Times New Roman" w:hAnsi="Times New Roman" w:cs="Times New Roman"/>
        </w:rPr>
        <w:t>aniela Ávila Osores</w:t>
      </w:r>
      <w:r w:rsidRPr="00E85768">
        <w:rPr>
          <w:rFonts w:ascii="Times New Roman" w:eastAsia="Times New Roman" w:hAnsi="Times New Roman" w:cs="Times New Roman"/>
          <w:vertAlign w:val="superscript"/>
        </w:rPr>
        <w:t>4</w:t>
      </w:r>
      <w:r w:rsidRPr="00E85768">
        <w:rPr>
          <w:rFonts w:ascii="Times New Roman" w:eastAsia="Times New Roman" w:hAnsi="Times New Roman" w:cs="Times New Roman"/>
        </w:rPr>
        <w:t>, O</w:t>
      </w:r>
      <w:r w:rsidR="00E85768">
        <w:rPr>
          <w:rFonts w:ascii="Times New Roman" w:eastAsia="Times New Roman" w:hAnsi="Times New Roman" w:cs="Times New Roman"/>
        </w:rPr>
        <w:t>scar González Campos</w:t>
      </w:r>
      <w:r w:rsidRPr="00E85768">
        <w:rPr>
          <w:rFonts w:ascii="Times New Roman" w:eastAsia="Times New Roman" w:hAnsi="Times New Roman" w:cs="Times New Roman"/>
          <w:vertAlign w:val="superscript"/>
        </w:rPr>
        <w:t>3</w:t>
      </w:r>
      <w:r w:rsidRPr="00E85768">
        <w:rPr>
          <w:rFonts w:ascii="Times New Roman" w:eastAsia="Times New Roman" w:hAnsi="Times New Roman" w:cs="Times New Roman"/>
        </w:rPr>
        <w:t>, P</w:t>
      </w:r>
      <w:r w:rsidR="00E85768">
        <w:rPr>
          <w:rFonts w:ascii="Times New Roman" w:eastAsia="Times New Roman" w:hAnsi="Times New Roman" w:cs="Times New Roman"/>
        </w:rPr>
        <w:t>edro Pineda Bravo</w:t>
      </w:r>
      <w:r w:rsidRPr="00E85768">
        <w:rPr>
          <w:rFonts w:ascii="Times New Roman" w:eastAsia="Times New Roman" w:hAnsi="Times New Roman" w:cs="Times New Roman"/>
          <w:vertAlign w:val="superscript"/>
        </w:rPr>
        <w:t>4</w:t>
      </w:r>
      <w:r w:rsidRPr="00E85768">
        <w:rPr>
          <w:rFonts w:ascii="Times New Roman" w:eastAsia="Times New Roman" w:hAnsi="Times New Roman" w:cs="Times New Roman"/>
        </w:rPr>
        <w:t>, V</w:t>
      </w:r>
      <w:r w:rsidR="00E85768">
        <w:rPr>
          <w:rFonts w:ascii="Times New Roman" w:eastAsia="Times New Roman" w:hAnsi="Times New Roman" w:cs="Times New Roman"/>
        </w:rPr>
        <w:t>erónica Araya Quintanilla</w:t>
      </w:r>
      <w:r w:rsidRPr="00E85768">
        <w:rPr>
          <w:rFonts w:ascii="Times New Roman" w:eastAsia="Times New Roman" w:hAnsi="Times New Roman" w:cs="Times New Roman"/>
          <w:vertAlign w:val="superscript"/>
        </w:rPr>
        <w:t>4</w:t>
      </w:r>
      <w:r w:rsidRPr="00E85768">
        <w:rPr>
          <w:rFonts w:ascii="Times New Roman" w:eastAsia="Times New Roman" w:hAnsi="Times New Roman" w:cs="Times New Roman"/>
        </w:rPr>
        <w:t>, D</w:t>
      </w:r>
      <w:r w:rsidR="00E85768">
        <w:rPr>
          <w:rFonts w:ascii="Times New Roman" w:eastAsia="Times New Roman" w:hAnsi="Times New Roman" w:cs="Times New Roman"/>
        </w:rPr>
        <w:t>aniela Eugenin Castillo</w:t>
      </w:r>
      <w:r w:rsidRPr="00E85768">
        <w:rPr>
          <w:rFonts w:ascii="Times New Roman" w:eastAsia="Times New Roman" w:hAnsi="Times New Roman" w:cs="Times New Roman"/>
          <w:vertAlign w:val="superscript"/>
        </w:rPr>
        <w:t>4</w:t>
      </w:r>
      <w:r w:rsidRPr="00E85768">
        <w:rPr>
          <w:rFonts w:ascii="Times New Roman" w:eastAsia="Times New Roman" w:hAnsi="Times New Roman" w:cs="Times New Roman"/>
        </w:rPr>
        <w:t>, P</w:t>
      </w:r>
      <w:r w:rsidR="00E85768">
        <w:rPr>
          <w:rFonts w:ascii="Times New Roman" w:eastAsia="Times New Roman" w:hAnsi="Times New Roman" w:cs="Times New Roman"/>
        </w:rPr>
        <w:t>atricia Díaz Gutiérrez</w:t>
      </w:r>
      <w:r w:rsidRPr="00E85768">
        <w:rPr>
          <w:rFonts w:ascii="Times New Roman" w:eastAsia="Times New Roman" w:hAnsi="Times New Roman" w:cs="Times New Roman"/>
          <w:vertAlign w:val="superscript"/>
        </w:rPr>
        <w:t>5</w:t>
      </w:r>
      <w:r w:rsidRPr="00E85768">
        <w:rPr>
          <w:rFonts w:ascii="Times New Roman" w:eastAsia="Times New Roman" w:hAnsi="Times New Roman" w:cs="Times New Roman"/>
        </w:rPr>
        <w:t>, Luis Toro Cabrera</w:t>
      </w:r>
      <w:r w:rsidRPr="00E85768">
        <w:rPr>
          <w:rFonts w:ascii="Times New Roman" w:eastAsia="Times New Roman" w:hAnsi="Times New Roman" w:cs="Times New Roman"/>
          <w:vertAlign w:val="superscript"/>
        </w:rPr>
        <w:t>6</w:t>
      </w:r>
      <w:r w:rsidRPr="00E85768">
        <w:rPr>
          <w:rFonts w:ascii="Times New Roman" w:eastAsia="Times New Roman" w:hAnsi="Times New Roman" w:cs="Times New Roman"/>
        </w:rPr>
        <w:br/>
      </w:r>
      <w:r w:rsidRPr="00E85768">
        <w:rPr>
          <w:rFonts w:ascii="Times New Roman" w:eastAsia="Times New Roman" w:hAnsi="Times New Roman" w:cs="Times New Roman"/>
          <w:vertAlign w:val="superscript"/>
        </w:rPr>
        <w:t>1</w:t>
      </w:r>
      <w:r w:rsidRPr="00E85768">
        <w:rPr>
          <w:rFonts w:ascii="Times New Roman" w:eastAsia="Times New Roman" w:hAnsi="Times New Roman" w:cs="Times New Roman"/>
        </w:rPr>
        <w:t xml:space="preserve">Sección Endocrinología, Hospital Clínico Universidad de Chile, </w:t>
      </w:r>
      <w:r w:rsidRPr="00E85768">
        <w:rPr>
          <w:rFonts w:ascii="Times New Roman" w:eastAsia="Times New Roman" w:hAnsi="Times New Roman" w:cs="Times New Roman"/>
          <w:vertAlign w:val="superscript"/>
        </w:rPr>
        <w:t>2</w:t>
      </w:r>
      <w:r w:rsidRPr="00E85768">
        <w:rPr>
          <w:rFonts w:ascii="Times New Roman" w:eastAsia="Times New Roman" w:hAnsi="Times New Roman" w:cs="Times New Roman"/>
        </w:rPr>
        <w:t xml:space="preserve">Laboratorio de Endocrinología y Biología de la Reproducción, Departamento de Obstetricia y Ginecología, Hospital Clínico Universidad de Chile, </w:t>
      </w:r>
      <w:r w:rsidRPr="00E85768">
        <w:rPr>
          <w:rFonts w:ascii="Times New Roman" w:eastAsia="Times New Roman" w:hAnsi="Times New Roman" w:cs="Times New Roman"/>
          <w:vertAlign w:val="superscript"/>
        </w:rPr>
        <w:t>3</w:t>
      </w:r>
      <w:r w:rsidRPr="00E85768">
        <w:rPr>
          <w:rFonts w:ascii="Times New Roman" w:eastAsia="Times New Roman" w:hAnsi="Times New Roman" w:cs="Times New Roman"/>
        </w:rPr>
        <w:t>G</w:t>
      </w:r>
      <w:r w:rsidR="00C5170A">
        <w:rPr>
          <w:rFonts w:ascii="Times New Roman" w:eastAsia="Times New Roman" w:hAnsi="Times New Roman" w:cs="Times New Roman"/>
        </w:rPr>
        <w:t>inecoendocrinología  y Climaterio Hospital Clínico Universidad de Chile</w:t>
      </w:r>
      <w:r w:rsidRPr="00E85768">
        <w:rPr>
          <w:rFonts w:ascii="Times New Roman" w:eastAsia="Times New Roman" w:hAnsi="Times New Roman" w:cs="Times New Roman"/>
        </w:rPr>
        <w:t xml:space="preserve">, </w:t>
      </w:r>
      <w:r w:rsidRPr="00E85768">
        <w:rPr>
          <w:rFonts w:ascii="Times New Roman" w:eastAsia="Times New Roman" w:hAnsi="Times New Roman" w:cs="Times New Roman"/>
          <w:vertAlign w:val="superscript"/>
        </w:rPr>
        <w:t>4</w:t>
      </w:r>
      <w:r w:rsidRPr="00E85768">
        <w:rPr>
          <w:rFonts w:ascii="Times New Roman" w:eastAsia="Times New Roman" w:hAnsi="Times New Roman" w:cs="Times New Roman"/>
        </w:rPr>
        <w:t xml:space="preserve">Hospital Clínico Universidad de Chile, </w:t>
      </w:r>
      <w:r w:rsidRPr="00E85768">
        <w:rPr>
          <w:rFonts w:ascii="Times New Roman" w:eastAsia="Times New Roman" w:hAnsi="Times New Roman" w:cs="Times New Roman"/>
          <w:vertAlign w:val="superscript"/>
        </w:rPr>
        <w:t>5</w:t>
      </w:r>
      <w:r w:rsidRPr="00E85768">
        <w:rPr>
          <w:rFonts w:ascii="Times New Roman" w:eastAsia="Times New Roman" w:hAnsi="Times New Roman" w:cs="Times New Roman"/>
        </w:rPr>
        <w:t xml:space="preserve">Hospital Provincial Dr. Rafael </w:t>
      </w:r>
      <w:proofErr w:type="spellStart"/>
      <w:r w:rsidRPr="00E85768">
        <w:rPr>
          <w:rFonts w:ascii="Times New Roman" w:eastAsia="Times New Roman" w:hAnsi="Times New Roman" w:cs="Times New Roman"/>
        </w:rPr>
        <w:t>Avaría</w:t>
      </w:r>
      <w:proofErr w:type="spellEnd"/>
      <w:r w:rsidRPr="00E85768">
        <w:rPr>
          <w:rFonts w:ascii="Times New Roman" w:eastAsia="Times New Roman" w:hAnsi="Times New Roman" w:cs="Times New Roman"/>
        </w:rPr>
        <w:t xml:space="preserve"> (</w:t>
      </w:r>
      <w:proofErr w:type="spellStart"/>
      <w:r w:rsidRPr="00E85768">
        <w:rPr>
          <w:rFonts w:ascii="Times New Roman" w:eastAsia="Times New Roman" w:hAnsi="Times New Roman" w:cs="Times New Roman"/>
        </w:rPr>
        <w:t>Curanilahue</w:t>
      </w:r>
      <w:proofErr w:type="spellEnd"/>
      <w:r w:rsidRPr="00E85768">
        <w:rPr>
          <w:rFonts w:ascii="Times New Roman" w:eastAsia="Times New Roman" w:hAnsi="Times New Roman" w:cs="Times New Roman"/>
        </w:rPr>
        <w:t xml:space="preserve">), </w:t>
      </w:r>
      <w:r w:rsidRPr="00E85768">
        <w:rPr>
          <w:rFonts w:ascii="Times New Roman" w:eastAsia="Times New Roman" w:hAnsi="Times New Roman" w:cs="Times New Roman"/>
          <w:vertAlign w:val="superscript"/>
        </w:rPr>
        <w:t>6</w:t>
      </w:r>
      <w:r w:rsidRPr="00E85768">
        <w:rPr>
          <w:rFonts w:ascii="Times New Roman" w:eastAsia="Times New Roman" w:hAnsi="Times New Roman" w:cs="Times New Roman"/>
        </w:rPr>
        <w:t>Sección Nefro</w:t>
      </w:r>
      <w:r w:rsidR="00C5170A">
        <w:rPr>
          <w:rFonts w:ascii="Times New Roman" w:eastAsia="Times New Roman" w:hAnsi="Times New Roman" w:cs="Times New Roman"/>
        </w:rPr>
        <w:t>logía, Hospital Clínico U</w:t>
      </w:r>
      <w:r w:rsidRPr="00E85768">
        <w:rPr>
          <w:rFonts w:ascii="Times New Roman" w:eastAsia="Times New Roman" w:hAnsi="Times New Roman" w:cs="Times New Roman"/>
        </w:rPr>
        <w:t>niversidad de Chile</w:t>
      </w:r>
    </w:p>
    <w:p w:rsidR="00BB33B4" w:rsidRPr="00E85768" w:rsidRDefault="00F5416A" w:rsidP="00E85768">
      <w:pPr>
        <w:spacing w:after="0" w:line="240" w:lineRule="auto"/>
        <w:jc w:val="both"/>
        <w:rPr>
          <w:rFonts w:ascii="Times New Roman" w:eastAsia="Times New Roman" w:hAnsi="Times New Roman" w:cs="Times New Roman"/>
        </w:rPr>
      </w:pPr>
      <w:r w:rsidRPr="00E85768">
        <w:rPr>
          <w:rFonts w:ascii="Times New Roman" w:eastAsia="Times New Roman" w:hAnsi="Times New Roman" w:cs="Times New Roman"/>
          <w:b/>
          <w:bCs/>
        </w:rPr>
        <w:t xml:space="preserve">Contenido: </w:t>
      </w:r>
    </w:p>
    <w:p w:rsidR="00BB33B4" w:rsidRPr="00E85768" w:rsidRDefault="00F5416A" w:rsidP="00E85768">
      <w:pPr>
        <w:pStyle w:val="NormalWeb"/>
        <w:spacing w:before="0" w:beforeAutospacing="0" w:after="0" w:afterAutospacing="0"/>
        <w:jc w:val="both"/>
        <w:rPr>
          <w:sz w:val="22"/>
          <w:szCs w:val="22"/>
        </w:rPr>
      </w:pPr>
      <w:r w:rsidRPr="00E85768">
        <w:rPr>
          <w:sz w:val="22"/>
          <w:szCs w:val="22"/>
        </w:rPr>
        <w:t xml:space="preserve">La osteoporosis es un problema de salud mundial. A pesar de que la densitometría ósea (DO) tiene alta especificidad para su diagnóstico, su sensibilidad es </w:t>
      </w:r>
      <w:proofErr w:type="spellStart"/>
      <w:r w:rsidRPr="00E85768">
        <w:rPr>
          <w:sz w:val="22"/>
          <w:szCs w:val="22"/>
        </w:rPr>
        <w:t>subóptima</w:t>
      </w:r>
      <w:proofErr w:type="spellEnd"/>
      <w:r w:rsidRPr="00E85768">
        <w:rPr>
          <w:sz w:val="22"/>
          <w:szCs w:val="22"/>
        </w:rPr>
        <w:t xml:space="preserve"> para estimar el potencial riesgo de fracturas. Éste, se puede calcular por algoritmos de predictores que incluyen la DO, edad, entre otros, y algunos han propuesto incluir los marcadores óseos (MO), como factor de </w:t>
      </w:r>
      <w:proofErr w:type="gramStart"/>
      <w:r w:rsidRPr="00E85768">
        <w:rPr>
          <w:sz w:val="22"/>
          <w:szCs w:val="22"/>
        </w:rPr>
        <w:t>riesgo independientes</w:t>
      </w:r>
      <w:proofErr w:type="gramEnd"/>
      <w:r w:rsidRPr="00E85768">
        <w:rPr>
          <w:sz w:val="22"/>
          <w:szCs w:val="22"/>
        </w:rPr>
        <w:t xml:space="preserve"> de la DO. De los recomendados para medir resorción es el </w:t>
      </w:r>
      <w:proofErr w:type="spellStart"/>
      <w:r w:rsidRPr="00E85768">
        <w:rPr>
          <w:sz w:val="22"/>
          <w:szCs w:val="22"/>
        </w:rPr>
        <w:t>telopéptido</w:t>
      </w:r>
      <w:proofErr w:type="spellEnd"/>
      <w:r w:rsidRPr="00E85768">
        <w:rPr>
          <w:sz w:val="22"/>
          <w:szCs w:val="22"/>
        </w:rPr>
        <w:t xml:space="preserve"> C- terminal del colágeno tipo 1 (CTX), mientras que uno de los de formación ósea es la </w:t>
      </w:r>
      <w:proofErr w:type="spellStart"/>
      <w:r w:rsidRPr="00E85768">
        <w:rPr>
          <w:sz w:val="22"/>
          <w:szCs w:val="22"/>
        </w:rPr>
        <w:t>osteocalcina</w:t>
      </w:r>
      <w:proofErr w:type="spellEnd"/>
      <w:r w:rsidRPr="00E85768">
        <w:rPr>
          <w:sz w:val="22"/>
          <w:szCs w:val="22"/>
        </w:rPr>
        <w:t>. Los MO aumentan en la transición hacia la menopausia y sus niveles se han asociado a pérdidas óseas aceleradas en mujeres postmenopáusicas (MPM), pero su uso ha sido dificultado por su variabilidad. En nuestro país no se han definido rangos normales de estos MO, en nuestra población de MPM</w:t>
      </w:r>
    </w:p>
    <w:p w:rsidR="00BB33B4" w:rsidRPr="00E85768" w:rsidRDefault="00F5416A" w:rsidP="00E85768">
      <w:pPr>
        <w:pStyle w:val="NormalWeb"/>
        <w:spacing w:before="0" w:beforeAutospacing="0" w:after="0" w:afterAutospacing="0"/>
        <w:jc w:val="both"/>
        <w:rPr>
          <w:sz w:val="22"/>
          <w:szCs w:val="22"/>
        </w:rPr>
      </w:pPr>
      <w:r w:rsidRPr="00AA64D0">
        <w:rPr>
          <w:b/>
          <w:sz w:val="22"/>
          <w:szCs w:val="22"/>
        </w:rPr>
        <w:t>OBJETIVOS:</w:t>
      </w:r>
      <w:r w:rsidRPr="00E85768">
        <w:rPr>
          <w:sz w:val="22"/>
          <w:szCs w:val="22"/>
        </w:rPr>
        <w:t xml:space="preserve"> Establecer los rangos de CTX y NMID-</w:t>
      </w:r>
      <w:proofErr w:type="spellStart"/>
      <w:r w:rsidRPr="00E85768">
        <w:rPr>
          <w:sz w:val="22"/>
          <w:szCs w:val="22"/>
        </w:rPr>
        <w:t>Osteocalcina</w:t>
      </w:r>
      <w:proofErr w:type="spellEnd"/>
      <w:r w:rsidRPr="00E85768">
        <w:rPr>
          <w:sz w:val="22"/>
          <w:szCs w:val="22"/>
        </w:rPr>
        <w:t xml:space="preserve"> (NMID-O) en MPM chilenas, y comparar los niveles entre 2 grupos: 1) Con osteopenia/osteoporosis (PMO) y 2) Control sin patología ósea (PMC)</w:t>
      </w:r>
    </w:p>
    <w:p w:rsidR="00BB33B4" w:rsidRPr="00E85768" w:rsidRDefault="00F5416A" w:rsidP="00E85768">
      <w:pPr>
        <w:pStyle w:val="NormalWeb"/>
        <w:spacing w:before="0" w:beforeAutospacing="0" w:after="0" w:afterAutospacing="0"/>
        <w:jc w:val="both"/>
        <w:rPr>
          <w:sz w:val="22"/>
          <w:szCs w:val="22"/>
        </w:rPr>
      </w:pPr>
      <w:r w:rsidRPr="00E85768">
        <w:rPr>
          <w:sz w:val="22"/>
          <w:szCs w:val="22"/>
        </w:rPr>
        <w:t xml:space="preserve">DISEÑO: Estudio observacional y transversal. </w:t>
      </w:r>
      <w:r w:rsidRPr="00AA64D0">
        <w:rPr>
          <w:b/>
          <w:sz w:val="22"/>
          <w:szCs w:val="22"/>
        </w:rPr>
        <w:t>MATERIAL Y MÉTODOS:</w:t>
      </w:r>
      <w:r w:rsidRPr="00E85768">
        <w:rPr>
          <w:sz w:val="22"/>
          <w:szCs w:val="22"/>
        </w:rPr>
        <w:t xml:space="preserve"> Se reclutaron MPM voluntarias, que tuvieran DO del último año. Se realizó: encuesta de factores de riesgo de osteoporosis, laboratorio general, vitamina D y medición de MO. Se excluyó patologías o fármacos que afectarán metabolismo óseo. Según distribución de los datos se usó Chi</w:t>
      </w:r>
      <w:r w:rsidRPr="00E85768">
        <w:rPr>
          <w:sz w:val="22"/>
          <w:szCs w:val="22"/>
          <w:vertAlign w:val="superscript"/>
        </w:rPr>
        <w:t>2</w:t>
      </w:r>
      <w:r w:rsidRPr="00E85768">
        <w:rPr>
          <w:sz w:val="22"/>
          <w:szCs w:val="22"/>
        </w:rPr>
        <w:t>o T test. Para determinar capacidad diagnóstica se realizó análisis ROC de CTX y NMID-O, con determinación de área bajo la curva. Para punto de co</w:t>
      </w:r>
      <w:r w:rsidR="00AA64D0">
        <w:rPr>
          <w:sz w:val="22"/>
          <w:szCs w:val="22"/>
        </w:rPr>
        <w:t>rte se analizó sensibilidad (S)</w:t>
      </w:r>
      <w:r w:rsidRPr="00E85768">
        <w:rPr>
          <w:sz w:val="22"/>
          <w:szCs w:val="22"/>
        </w:rPr>
        <w:t>,</w:t>
      </w:r>
      <w:r w:rsidR="00AA64D0">
        <w:rPr>
          <w:sz w:val="22"/>
          <w:szCs w:val="22"/>
        </w:rPr>
        <w:t xml:space="preserve"> </w:t>
      </w:r>
      <w:r w:rsidRPr="00E85768">
        <w:rPr>
          <w:sz w:val="22"/>
          <w:szCs w:val="22"/>
        </w:rPr>
        <w:t xml:space="preserve">especificidad (E), </w:t>
      </w:r>
      <w:proofErr w:type="gramStart"/>
      <w:r w:rsidRPr="00E85768">
        <w:rPr>
          <w:sz w:val="22"/>
          <w:szCs w:val="22"/>
        </w:rPr>
        <w:t>LR(</w:t>
      </w:r>
      <w:proofErr w:type="gramEnd"/>
      <w:r w:rsidRPr="00E85768">
        <w:rPr>
          <w:sz w:val="22"/>
          <w:szCs w:val="22"/>
        </w:rPr>
        <w:t>+), LR (-), VPP y VPN. Se eligió el punto de corte más bajo que tuviera una S al menos de 85%. Se consideró diferencia significativa un p&lt;0,05</w:t>
      </w:r>
    </w:p>
    <w:p w:rsidR="00BB33B4" w:rsidRPr="00E85768" w:rsidRDefault="00F5416A" w:rsidP="00E85768">
      <w:pPr>
        <w:pStyle w:val="NormalWeb"/>
        <w:spacing w:before="0" w:beforeAutospacing="0" w:after="0" w:afterAutospacing="0"/>
        <w:jc w:val="both"/>
        <w:rPr>
          <w:sz w:val="22"/>
          <w:szCs w:val="22"/>
        </w:rPr>
      </w:pPr>
      <w:r w:rsidRPr="00AA64D0">
        <w:rPr>
          <w:b/>
          <w:sz w:val="22"/>
          <w:szCs w:val="22"/>
        </w:rPr>
        <w:t xml:space="preserve">RESULTADOS: </w:t>
      </w:r>
      <w:r w:rsidRPr="00E85768">
        <w:rPr>
          <w:sz w:val="22"/>
          <w:szCs w:val="22"/>
        </w:rPr>
        <w:t xml:space="preserve">117 MPM </w:t>
      </w:r>
      <w:proofErr w:type="gramStart"/>
      <w:r w:rsidRPr="00E85768">
        <w:rPr>
          <w:sz w:val="22"/>
          <w:szCs w:val="22"/>
        </w:rPr>
        <w:t>( 57</w:t>
      </w:r>
      <w:proofErr w:type="gramEnd"/>
      <w:r w:rsidRPr="00E85768">
        <w:rPr>
          <w:sz w:val="22"/>
          <w:szCs w:val="22"/>
        </w:rPr>
        <w:t xml:space="preserve"> PMC y 60 PMO) cumplieron criterios de inclusión, 18 % con osteoporosis, edad media 61,3 (± 8,1),13,7 (± 9,7) años postmenopausia, IMC 28,7 (± 5,1) kg/m</w:t>
      </w:r>
      <w:r w:rsidRPr="00E85768">
        <w:rPr>
          <w:sz w:val="22"/>
          <w:szCs w:val="22"/>
          <w:vertAlign w:val="superscript"/>
        </w:rPr>
        <w:t>2</w:t>
      </w:r>
      <w:r w:rsidRPr="00E85768">
        <w:rPr>
          <w:sz w:val="22"/>
          <w:szCs w:val="22"/>
        </w:rPr>
        <w:t xml:space="preserve">, vitamina D 23,7 (± 11,5) ng/dl, sin diferencias entre grupos. Los rangos de CTX y NMID-O en MPM (n=117) fueron 0,39 </w:t>
      </w:r>
      <w:proofErr w:type="gramStart"/>
      <w:r w:rsidRPr="00E85768">
        <w:rPr>
          <w:sz w:val="22"/>
          <w:szCs w:val="22"/>
        </w:rPr>
        <w:t>[ IC95</w:t>
      </w:r>
      <w:proofErr w:type="gramEnd"/>
      <w:r w:rsidRPr="00E85768">
        <w:rPr>
          <w:sz w:val="22"/>
          <w:szCs w:val="22"/>
        </w:rPr>
        <w:t xml:space="preserve">% 0,14- 0,75] y 21,9 [ IC95% 17,8- 26,4] ng/ml. Los niveles de CTX y NMID-O fueron más altos en grupo PMO </w:t>
      </w:r>
      <w:proofErr w:type="gramStart"/>
      <w:r w:rsidRPr="00E85768">
        <w:rPr>
          <w:sz w:val="22"/>
          <w:szCs w:val="22"/>
        </w:rPr>
        <w:t>( 0,44</w:t>
      </w:r>
      <w:proofErr w:type="gramEnd"/>
      <w:r w:rsidRPr="00E85768">
        <w:rPr>
          <w:sz w:val="22"/>
          <w:szCs w:val="22"/>
        </w:rPr>
        <w:t xml:space="preserve"> ± 0,2 y 24,02± 7,85) en comparación a PMC (0,37 ± 0,16 y 20,78 ± 6,93), p&lt; 0,05. CTX se asoció a curva ROC con área de 0,62 </w:t>
      </w:r>
      <w:proofErr w:type="gramStart"/>
      <w:r w:rsidRPr="00E85768">
        <w:rPr>
          <w:sz w:val="22"/>
          <w:szCs w:val="22"/>
        </w:rPr>
        <w:t>( IC95</w:t>
      </w:r>
      <w:proofErr w:type="gramEnd"/>
      <w:r w:rsidRPr="00E85768">
        <w:rPr>
          <w:sz w:val="22"/>
          <w:szCs w:val="22"/>
        </w:rPr>
        <w:t xml:space="preserve">% 0,52- 0,72) p= 0,03 y NMID-O a ROC con área de 0,64 ( IC95% 0,54- 0,74) p=0,009. Se definió para punto de corte entre los grupos para CTX = 0,26 </w:t>
      </w:r>
      <w:proofErr w:type="gramStart"/>
      <w:r w:rsidRPr="00E85768">
        <w:rPr>
          <w:sz w:val="22"/>
          <w:szCs w:val="22"/>
        </w:rPr>
        <w:t>( S</w:t>
      </w:r>
      <w:proofErr w:type="gramEnd"/>
      <w:r w:rsidRPr="00E85768">
        <w:rPr>
          <w:sz w:val="22"/>
          <w:szCs w:val="22"/>
        </w:rPr>
        <w:t xml:space="preserve"> 85%,LR(-)0,6 ) OR 1,78 ( 1,06-4,17) y para NIMD-O=17,7 pg/ml ( S 86%LR(-) 0,3 ) OR 2,9 (1,2-6,6).</w:t>
      </w:r>
    </w:p>
    <w:p w:rsidR="00BB33B4" w:rsidRPr="00E85768" w:rsidRDefault="00F5416A" w:rsidP="00E85768">
      <w:pPr>
        <w:pStyle w:val="NormalWeb"/>
        <w:spacing w:before="0" w:beforeAutospacing="0" w:after="0" w:afterAutospacing="0"/>
        <w:jc w:val="both"/>
        <w:rPr>
          <w:sz w:val="22"/>
          <w:szCs w:val="22"/>
        </w:rPr>
      </w:pPr>
      <w:r w:rsidRPr="00AA64D0">
        <w:rPr>
          <w:b/>
          <w:sz w:val="22"/>
          <w:szCs w:val="22"/>
        </w:rPr>
        <w:t>CONCLUSIONES</w:t>
      </w:r>
      <w:r w:rsidRPr="00E85768">
        <w:rPr>
          <w:sz w:val="22"/>
          <w:szCs w:val="22"/>
        </w:rPr>
        <w:t>:</w:t>
      </w:r>
      <w:r w:rsidR="00AA64D0">
        <w:rPr>
          <w:sz w:val="22"/>
          <w:szCs w:val="22"/>
        </w:rPr>
        <w:t xml:space="preserve"> </w:t>
      </w:r>
      <w:r w:rsidRPr="00E85768">
        <w:rPr>
          <w:sz w:val="22"/>
          <w:szCs w:val="22"/>
        </w:rPr>
        <w:t xml:space="preserve">Determinamos rangos de MO </w:t>
      </w:r>
      <w:proofErr w:type="gramStart"/>
      <w:r w:rsidRPr="00E85768">
        <w:rPr>
          <w:sz w:val="22"/>
          <w:szCs w:val="22"/>
        </w:rPr>
        <w:t>( CTX</w:t>
      </w:r>
      <w:proofErr w:type="gramEnd"/>
      <w:r w:rsidRPr="00E85768">
        <w:rPr>
          <w:sz w:val="22"/>
          <w:szCs w:val="22"/>
        </w:rPr>
        <w:t xml:space="preserve"> y NMID-O) en MPM chilenas, los que fueron menores a lo reportado en otras poblaciones. Además, encontramos valores más elevados de ambos MO en grupo PMO, y pudimos establecer a CTX y NIMD-O como predictores de osteoporosis y osteopenia. Los datos sugieren que podrían ser adicionales a los factores clínicos conocidos para seleccionar MPM de mayor riesgo para tamizaje e inicio de una terapia </w:t>
      </w:r>
      <w:proofErr w:type="spellStart"/>
      <w:r w:rsidRPr="00E85768">
        <w:rPr>
          <w:sz w:val="22"/>
          <w:szCs w:val="22"/>
        </w:rPr>
        <w:t>antiresortiva</w:t>
      </w:r>
      <w:proofErr w:type="spellEnd"/>
    </w:p>
    <w:p w:rsidR="00F5416A" w:rsidRPr="00E85768" w:rsidRDefault="00F5416A" w:rsidP="00E85768">
      <w:pPr>
        <w:spacing w:after="0" w:line="240" w:lineRule="auto"/>
        <w:jc w:val="both"/>
        <w:rPr>
          <w:rFonts w:ascii="Times New Roman" w:eastAsia="Times New Roman" w:hAnsi="Times New Roman" w:cs="Times New Roman"/>
        </w:rPr>
      </w:pPr>
      <w:r w:rsidRPr="00E85768">
        <w:rPr>
          <w:rFonts w:ascii="Times New Roman" w:eastAsia="Times New Roman" w:hAnsi="Times New Roman" w:cs="Times New Roman"/>
          <w:b/>
          <w:bCs/>
        </w:rPr>
        <w:t xml:space="preserve">Financiamiento: </w:t>
      </w:r>
      <w:r w:rsidR="00AA64D0">
        <w:rPr>
          <w:rFonts w:ascii="Times New Roman" w:eastAsia="Times New Roman" w:hAnsi="Times New Roman" w:cs="Times New Roman"/>
        </w:rPr>
        <w:t>PROYECTO OAIC (</w:t>
      </w:r>
      <w:r w:rsidRPr="00E85768">
        <w:rPr>
          <w:rFonts w:ascii="Times New Roman" w:eastAsia="Times New Roman" w:hAnsi="Times New Roman" w:cs="Times New Roman"/>
        </w:rPr>
        <w:t xml:space="preserve">PROYECTO DE TEMAS LIBRES OFICINA APOYO A LA INVESTIGACION) 753/15, HOSPITAL CLINICO U DE CHILE </w:t>
      </w:r>
    </w:p>
    <w:sectPr w:rsidR="00F5416A" w:rsidRPr="00E85768" w:rsidSect="00BB33B4">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1125"/>
    <w:rsid w:val="00087487"/>
    <w:rsid w:val="00903800"/>
    <w:rsid w:val="00AA64D0"/>
    <w:rsid w:val="00AE53CD"/>
    <w:rsid w:val="00BB33B4"/>
    <w:rsid w:val="00C5170A"/>
    <w:rsid w:val="00DD1125"/>
    <w:rsid w:val="00E85768"/>
    <w:rsid w:val="00F541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33B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601</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6</cp:revision>
  <dcterms:created xsi:type="dcterms:W3CDTF">2018-08-07T21:17:00Z</dcterms:created>
  <dcterms:modified xsi:type="dcterms:W3CDTF">2018-09-30T03:07:00Z</dcterms:modified>
</cp:coreProperties>
</file>